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E1B" w:rsidRPr="009903A0" w:rsidRDefault="00C51E1B" w:rsidP="00C51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903A0">
        <w:rPr>
          <w:rFonts w:ascii="Arial" w:hAnsi="Arial" w:cs="Arial"/>
          <w:sz w:val="24"/>
          <w:szCs w:val="24"/>
        </w:rPr>
        <w:t xml:space="preserve">Answers to the comments of the </w:t>
      </w:r>
      <w:r w:rsidRPr="009903A0">
        <w:rPr>
          <w:rFonts w:ascii="Arial" w:hAnsi="Arial" w:cs="Arial"/>
          <w:b/>
          <w:bCs/>
          <w:color w:val="000000"/>
          <w:sz w:val="24"/>
          <w:szCs w:val="24"/>
        </w:rPr>
        <w:t xml:space="preserve">Anonymous Referee #2 </w:t>
      </w:r>
      <w:r w:rsidRPr="009903A0">
        <w:rPr>
          <w:rFonts w:ascii="Arial" w:hAnsi="Arial" w:cs="Arial"/>
          <w:sz w:val="24"/>
          <w:szCs w:val="24"/>
        </w:rPr>
        <w:t xml:space="preserve">are provided in the following Table </w:t>
      </w:r>
    </w:p>
    <w:p w:rsidR="00C51E1B" w:rsidRPr="009903A0" w:rsidRDefault="00C51E1B" w:rsidP="00C51E1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51E1B" w:rsidRPr="009903A0" w:rsidTr="00E212CF">
        <w:tc>
          <w:tcPr>
            <w:tcW w:w="4788" w:type="dxa"/>
          </w:tcPr>
          <w:p w:rsidR="00C51E1B" w:rsidRPr="00A65D0E" w:rsidRDefault="00C51E1B" w:rsidP="00E212CF">
            <w:pPr>
              <w:rPr>
                <w:rFonts w:ascii="Arial" w:hAnsi="Arial" w:cs="Arial"/>
                <w:b/>
              </w:rPr>
            </w:pPr>
            <w:r w:rsidRPr="00A65D0E">
              <w:rPr>
                <w:rFonts w:ascii="Arial" w:hAnsi="Arial" w:cs="Arial"/>
                <w:b/>
                <w:color w:val="000000"/>
              </w:rPr>
              <w:t>COMMENTS</w:t>
            </w:r>
          </w:p>
        </w:tc>
        <w:tc>
          <w:tcPr>
            <w:tcW w:w="4788" w:type="dxa"/>
          </w:tcPr>
          <w:p w:rsidR="00C51E1B" w:rsidRPr="009903A0" w:rsidRDefault="00C51E1B" w:rsidP="00E212CF">
            <w:pPr>
              <w:rPr>
                <w:rFonts w:ascii="Arial" w:hAnsi="Arial" w:cs="Arial"/>
              </w:rPr>
            </w:pPr>
            <w:r w:rsidRPr="009903A0">
              <w:rPr>
                <w:rFonts w:ascii="Arial" w:hAnsi="Arial" w:cs="Arial"/>
                <w:b/>
              </w:rPr>
              <w:t>Answers</w:t>
            </w:r>
          </w:p>
        </w:tc>
      </w:tr>
      <w:tr w:rsidR="00C51E1B" w:rsidRPr="009903A0" w:rsidTr="00E212CF">
        <w:tc>
          <w:tcPr>
            <w:tcW w:w="4788" w:type="dxa"/>
          </w:tcPr>
          <w:p w:rsidR="00C51E1B" w:rsidRPr="00A65D0E" w:rsidRDefault="00C51E1B" w:rsidP="00E212CF">
            <w:pPr>
              <w:rPr>
                <w:rFonts w:ascii="Arial" w:hAnsi="Arial" w:cs="Arial"/>
                <w:b/>
              </w:rPr>
            </w:pPr>
            <w:r w:rsidRPr="00A65D0E">
              <w:rPr>
                <w:rFonts w:ascii="Arial" w:hAnsi="Arial" w:cs="Arial"/>
                <w:b/>
                <w:color w:val="000000"/>
              </w:rPr>
              <w:t>SPECIFIC/SCIENTIFIC COMMENTS</w:t>
            </w:r>
          </w:p>
        </w:tc>
        <w:tc>
          <w:tcPr>
            <w:tcW w:w="4788" w:type="dxa"/>
          </w:tcPr>
          <w:p w:rsidR="00C51E1B" w:rsidRPr="009903A0" w:rsidRDefault="00C51E1B" w:rsidP="00E212CF">
            <w:pPr>
              <w:rPr>
                <w:rFonts w:ascii="Arial" w:hAnsi="Arial" w:cs="Arial"/>
              </w:rPr>
            </w:pPr>
          </w:p>
        </w:tc>
      </w:tr>
      <w:tr w:rsidR="00C51E1B" w:rsidRPr="009903A0" w:rsidTr="00E212CF">
        <w:tc>
          <w:tcPr>
            <w:tcW w:w="4788" w:type="dxa"/>
          </w:tcPr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903A0">
              <w:rPr>
                <w:rFonts w:ascii="Arial" w:hAnsi="Arial" w:cs="Arial"/>
                <w:color w:val="000000"/>
              </w:rPr>
              <w:t>Page 1376, Line 1: deterministic DP. What is</w:t>
            </w:r>
          </w:p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9903A0">
              <w:rPr>
                <w:rFonts w:ascii="Arial" w:hAnsi="Arial" w:cs="Arial"/>
                <w:color w:val="000000"/>
              </w:rPr>
              <w:t>DP ?</w:t>
            </w:r>
            <w:proofErr w:type="gramEnd"/>
            <w:r w:rsidRPr="009903A0">
              <w:rPr>
                <w:rFonts w:ascii="Arial" w:hAnsi="Arial" w:cs="Arial"/>
                <w:color w:val="000000"/>
              </w:rPr>
              <w:t xml:space="preserve"> </w:t>
            </w:r>
          </w:p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903A0">
              <w:rPr>
                <w:rFonts w:ascii="Arial" w:hAnsi="Arial" w:cs="Arial"/>
                <w:color w:val="000000"/>
              </w:rPr>
              <w:t>Fig. 1: This figure is poor. No useful information regarding the following: 1. location of the D. river basin.</w:t>
            </w:r>
          </w:p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903A0">
              <w:rPr>
                <w:rFonts w:ascii="Arial" w:hAnsi="Arial" w:cs="Arial"/>
                <w:color w:val="000000"/>
              </w:rPr>
              <w:t>2. No legend, scale and north arrow. Source of image requires citing.</w:t>
            </w:r>
          </w:p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903A0">
              <w:rPr>
                <w:rFonts w:ascii="Arial" w:hAnsi="Arial" w:cs="Arial"/>
                <w:color w:val="000000"/>
              </w:rPr>
              <w:t>Line 22, please specify, daily or monthly discharge data?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 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1379, Fig. 2: No scale bar and no north arrow for orientation! Numbers are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proofErr w:type="gramStart"/>
            <w:r>
              <w:rPr>
                <w:rFonts w:ascii="NimbusSanL-Regu" w:hAnsi="NimbusSanL-Regu" w:cs="NimbusSanL-Regu"/>
                <w:color w:val="000000"/>
              </w:rPr>
              <w:t>minuscule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>.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1380, Line 4, ‘command area’, does this refer to the ‘study area’?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 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Line 24</w:t>
            </w:r>
            <w:proofErr w:type="gramStart"/>
            <w:r>
              <w:rPr>
                <w:rFonts w:ascii="NimbusSanL-Regu" w:hAnsi="NimbusSanL-Regu" w:cs="NimbusSanL-Regu"/>
                <w:color w:val="000000"/>
              </w:rPr>
              <w:t>,19.38Mm3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>, is this a monthly or annual figure? Please specify.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Page 1381, Line 15, The Reservoir storage table should be </w:t>
            </w:r>
            <w:proofErr w:type="spellStart"/>
            <w:r>
              <w:rPr>
                <w:rFonts w:ascii="NimbusSanL-Regu" w:hAnsi="NimbusSanL-Regu" w:cs="NimbusSanL-Regu"/>
                <w:color w:val="000000"/>
              </w:rPr>
              <w:t>labelled</w:t>
            </w:r>
            <w:proofErr w:type="spellEnd"/>
            <w:r>
              <w:rPr>
                <w:rFonts w:ascii="NimbusSanL-Regu" w:hAnsi="NimbusSanL-Regu" w:cs="NimbusSanL-Regu"/>
                <w:color w:val="000000"/>
              </w:rPr>
              <w:t xml:space="preserve"> as a table. What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proofErr w:type="gramStart"/>
            <w:r>
              <w:rPr>
                <w:rFonts w:ascii="NimbusSanL-Regu" w:hAnsi="NimbusSanL-Regu" w:cs="NimbusSanL-Regu"/>
                <w:color w:val="000000"/>
              </w:rPr>
              <w:t>is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‘ham’?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Pr="00A65D0E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b/>
                <w:color w:val="000000"/>
              </w:rPr>
            </w:pPr>
            <w:r w:rsidRPr="00A65D0E">
              <w:rPr>
                <w:rFonts w:ascii="NimbusSanL-Regu" w:hAnsi="NimbusSanL-Regu" w:cs="NimbusSanL-Regu"/>
                <w:b/>
                <w:color w:val="000000"/>
              </w:rPr>
              <w:t xml:space="preserve">TECHNICAL CORRECTIONS: 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Modify sentences listed accordingly: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 Page 1375, Line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18: are. Acres model (</w:t>
            </w:r>
            <w:proofErr w:type="spellStart"/>
            <w:r>
              <w:rPr>
                <w:rFonts w:ascii="NimbusSanL-Regu" w:hAnsi="NimbusSanL-Regu" w:cs="NimbusSanL-Regu"/>
                <w:color w:val="000000"/>
              </w:rPr>
              <w:t>Sigvaldson</w:t>
            </w:r>
            <w:proofErr w:type="spellEnd"/>
            <w:r>
              <w:rPr>
                <w:rFonts w:ascii="NimbusSanL-Regu" w:hAnsi="NimbusSanL-Regu" w:cs="NimbusSanL-Regu"/>
                <w:color w:val="000000"/>
              </w:rPr>
              <w:t>, 1976)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1376, Line 14: areas of the Volta Basin, Ghana and Burkina Faso, Ghana. (Is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Burkina Faso in Ghana?)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1377, Line 22-24: Again it may also be noted that since its inception in 1938,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Snyder’s method</w:t>
            </w:r>
            <w:proofErr w:type="gramStart"/>
            <w:r>
              <w:rPr>
                <w:rFonts w:ascii="NimbusSanL-Regu" w:hAnsi="NimbusSanL-Regu" w:cs="NimbusSanL-Regu"/>
                <w:color w:val="000000"/>
              </w:rPr>
              <w:t>...(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>inception...of a method?)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88" w:type="dxa"/>
          </w:tcPr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903A0">
              <w:rPr>
                <w:rFonts w:ascii="Arial" w:hAnsi="Arial" w:cs="Arial"/>
                <w:color w:val="000000"/>
              </w:rPr>
              <w:lastRenderedPageBreak/>
              <w:t xml:space="preserve">Page 1376, Line 1: </w:t>
            </w:r>
          </w:p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903A0">
              <w:rPr>
                <w:rFonts w:ascii="Arial" w:hAnsi="Arial" w:cs="Arial"/>
                <w:color w:val="000000"/>
              </w:rPr>
              <w:t>DP  is Dynamic Programming</w:t>
            </w:r>
          </w:p>
          <w:p w:rsidR="00C51E1B" w:rsidRPr="009903A0" w:rsidRDefault="00C51E1B" w:rsidP="00E212CF">
            <w:pPr>
              <w:rPr>
                <w:rFonts w:ascii="Arial" w:hAnsi="Arial" w:cs="Arial"/>
                <w:color w:val="000000"/>
              </w:rPr>
            </w:pPr>
          </w:p>
          <w:p w:rsidR="00C51E1B" w:rsidRPr="009903A0" w:rsidRDefault="00C51E1B" w:rsidP="00E212CF">
            <w:pPr>
              <w:rPr>
                <w:rFonts w:ascii="Arial" w:hAnsi="Arial" w:cs="Arial"/>
                <w:color w:val="000000"/>
              </w:rPr>
            </w:pPr>
          </w:p>
          <w:p w:rsidR="00C51E1B" w:rsidRPr="009903A0" w:rsidRDefault="003D2159" w:rsidP="00E212C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Annexure I</w:t>
            </w:r>
          </w:p>
          <w:p w:rsidR="00C51E1B" w:rsidRPr="009903A0" w:rsidRDefault="00C51E1B" w:rsidP="00E212CF">
            <w:pPr>
              <w:rPr>
                <w:rFonts w:ascii="Arial" w:hAnsi="Arial" w:cs="Arial"/>
                <w:color w:val="000000"/>
              </w:rPr>
            </w:pPr>
          </w:p>
          <w:p w:rsidR="00C51E1B" w:rsidRPr="009903A0" w:rsidRDefault="00C51E1B" w:rsidP="00E212CF">
            <w:pPr>
              <w:rPr>
                <w:rFonts w:ascii="Arial" w:hAnsi="Arial" w:cs="Arial"/>
                <w:color w:val="000000"/>
              </w:rPr>
            </w:pPr>
          </w:p>
          <w:p w:rsidR="00C51E1B" w:rsidRPr="009903A0" w:rsidRDefault="00C51E1B" w:rsidP="00E212CF">
            <w:pPr>
              <w:rPr>
                <w:rFonts w:ascii="Arial" w:hAnsi="Arial" w:cs="Arial"/>
                <w:color w:val="000000"/>
              </w:rPr>
            </w:pPr>
          </w:p>
          <w:p w:rsidR="00C51E1B" w:rsidRPr="009903A0" w:rsidRDefault="00C51E1B" w:rsidP="00E212CF">
            <w:pPr>
              <w:rPr>
                <w:rFonts w:ascii="Arial" w:hAnsi="Arial" w:cs="Arial"/>
                <w:color w:val="000000"/>
              </w:rPr>
            </w:pPr>
          </w:p>
          <w:p w:rsidR="00C51E1B" w:rsidRPr="009903A0" w:rsidRDefault="00C51E1B" w:rsidP="00E212CF">
            <w:pPr>
              <w:rPr>
                <w:rFonts w:ascii="Arial" w:hAnsi="Arial" w:cs="Arial"/>
                <w:color w:val="000000"/>
              </w:rPr>
            </w:pPr>
            <w:r w:rsidRPr="009903A0">
              <w:rPr>
                <w:rFonts w:ascii="Arial" w:hAnsi="Arial" w:cs="Arial"/>
                <w:color w:val="000000"/>
              </w:rPr>
              <w:t>Line 22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903A0">
              <w:rPr>
                <w:rFonts w:ascii="Arial" w:hAnsi="Arial" w:cs="Arial"/>
                <w:color w:val="000000"/>
              </w:rPr>
              <w:t>It is monthly discharge data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3D2159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Annexure II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Pr="00CC6AA5" w:rsidRDefault="00C51E1B" w:rsidP="00E212CF">
            <w:pPr>
              <w:jc w:val="both"/>
              <w:rPr>
                <w:rFonts w:ascii="NimbusSanL-Regu" w:hAnsi="NimbusSanL-Regu" w:cs="NimbusSanL-Regu"/>
              </w:rPr>
            </w:pPr>
            <w:r>
              <w:rPr>
                <w:rFonts w:ascii="Arial" w:hAnsi="Arial" w:cs="Arial"/>
              </w:rPr>
              <w:t xml:space="preserve">Page </w:t>
            </w:r>
            <w:proofErr w:type="gramStart"/>
            <w:r>
              <w:rPr>
                <w:rFonts w:ascii="Arial" w:hAnsi="Arial" w:cs="Arial"/>
              </w:rPr>
              <w:t xml:space="preserve">1380  </w:t>
            </w:r>
            <w:r>
              <w:rPr>
                <w:rFonts w:ascii="NimbusSanL-Regu" w:hAnsi="NimbusSanL-Regu" w:cs="NimbusSanL-Regu"/>
                <w:color w:val="000000"/>
              </w:rPr>
              <w:t>Line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4, ‘command area’ is referring to area served by a Water Resource Project. </w:t>
            </w:r>
            <w:r w:rsidRPr="00CC6AA5">
              <w:rPr>
                <w:rFonts w:ascii="NimbusSanL-Regu" w:hAnsi="NimbusSanL-Regu" w:cs="NimbusSanL-Regu"/>
              </w:rPr>
              <w:t>It is part of the study area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jc w:val="both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Line 24, 19.38Mm3, </w:t>
            </w:r>
            <w:r w:rsidRPr="00CC6AA5">
              <w:rPr>
                <w:rFonts w:ascii="NimbusSanL-Regu" w:hAnsi="NimbusSanL-Regu" w:cs="NimbusSanL-Regu"/>
              </w:rPr>
              <w:t>is monthly</w:t>
            </w:r>
            <w:r>
              <w:rPr>
                <w:rFonts w:ascii="NimbusSanL-Regu" w:hAnsi="NimbusSanL-Regu" w:cs="NimbusSanL-Regu"/>
                <w:color w:val="000000"/>
              </w:rPr>
              <w:t xml:space="preserve"> figure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1381,</w:t>
            </w:r>
          </w:p>
          <w:p w:rsidR="00C51E1B" w:rsidRPr="001A7B71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Line 15, The Reservoir storage table has </w:t>
            </w:r>
            <w:proofErr w:type="gramStart"/>
            <w:r>
              <w:rPr>
                <w:rFonts w:ascii="NimbusSanL-Regu" w:hAnsi="NimbusSanL-Regu" w:cs="NimbusSanL-Regu"/>
                <w:color w:val="000000"/>
              </w:rPr>
              <w:t xml:space="preserve">been  </w:t>
            </w:r>
            <w:proofErr w:type="spellStart"/>
            <w:r>
              <w:rPr>
                <w:rFonts w:ascii="NimbusSanL-Regu" w:hAnsi="NimbusSanL-Regu" w:cs="NimbusSanL-Regu"/>
                <w:color w:val="000000"/>
              </w:rPr>
              <w:t>labelled</w:t>
            </w:r>
            <w:proofErr w:type="spellEnd"/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as a </w:t>
            </w:r>
            <w:r w:rsidRPr="001A7B71">
              <w:rPr>
                <w:rFonts w:ascii="NimbusSanL-Regu" w:hAnsi="NimbusSanL-Regu" w:cs="NimbusSanL-Regu"/>
              </w:rPr>
              <w:t>table. ( Annexure V)</w:t>
            </w:r>
          </w:p>
          <w:p w:rsidR="00C51E1B" w:rsidRPr="001A7B71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</w:rPr>
            </w:pPr>
            <w:r w:rsidRPr="001A7B71">
              <w:rPr>
                <w:rFonts w:ascii="NimbusSanL-Regu" w:hAnsi="NimbusSanL-Regu" w:cs="NimbusSanL-Regu"/>
              </w:rPr>
              <w:t xml:space="preserve"> ‘ham’ is hectare </w:t>
            </w:r>
            <w:proofErr w:type="spellStart"/>
            <w:r w:rsidRPr="001A7B71">
              <w:rPr>
                <w:rFonts w:ascii="NimbusSanL-Regu" w:hAnsi="NimbusSanL-Regu" w:cs="NimbusSanL-Regu"/>
              </w:rPr>
              <w:t>metre</w:t>
            </w:r>
            <w:proofErr w:type="spellEnd"/>
          </w:p>
          <w:p w:rsidR="00C51E1B" w:rsidRPr="001A7B71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jc w:val="both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1375, Line 18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16CA0">
              <w:rPr>
                <w:rFonts w:ascii="Arial" w:hAnsi="Arial" w:cs="Arial"/>
              </w:rPr>
              <w:t>Acres model (</w:t>
            </w:r>
            <w:proofErr w:type="spellStart"/>
            <w:r w:rsidRPr="00316CA0">
              <w:rPr>
                <w:rFonts w:ascii="Arial" w:hAnsi="Arial" w:cs="Arial"/>
              </w:rPr>
              <w:t>Sigvaldson</w:t>
            </w:r>
            <w:proofErr w:type="spellEnd"/>
            <w:r w:rsidRPr="00316CA0">
              <w:rPr>
                <w:rFonts w:ascii="Arial" w:hAnsi="Arial" w:cs="Arial"/>
              </w:rPr>
              <w:t xml:space="preserve"> 1976), </w:t>
            </w:r>
            <w:proofErr w:type="spellStart"/>
            <w:r w:rsidRPr="00316CA0">
              <w:rPr>
                <w:rFonts w:ascii="Arial" w:hAnsi="Arial" w:cs="Arial"/>
              </w:rPr>
              <w:t>Streamflow</w:t>
            </w:r>
            <w:proofErr w:type="spellEnd"/>
            <w:r w:rsidRPr="00316CA0">
              <w:rPr>
                <w:rFonts w:ascii="Arial" w:hAnsi="Arial" w:cs="Arial"/>
              </w:rPr>
              <w:t xml:space="preserve"> Synthesis and Reservoir Regulation (SSARR)</w:t>
            </w:r>
            <w:r>
              <w:rPr>
                <w:rFonts w:ascii="Arial" w:hAnsi="Arial" w:cs="Arial"/>
              </w:rPr>
              <w:t xml:space="preserve"> </w:t>
            </w:r>
            <w:r w:rsidRPr="00316CA0">
              <w:rPr>
                <w:rFonts w:ascii="Arial" w:hAnsi="Arial" w:cs="Arial"/>
              </w:rPr>
              <w:t>Model (USACE, 1987), the Interactive River System Simulation (IRIS)</w:t>
            </w:r>
            <w:r>
              <w:rPr>
                <w:rFonts w:ascii="Arial" w:hAnsi="Arial" w:cs="Arial"/>
              </w:rPr>
              <w:t xml:space="preserve"> </w:t>
            </w:r>
            <w:r w:rsidRPr="00316CA0">
              <w:rPr>
                <w:rFonts w:ascii="Arial" w:hAnsi="Arial" w:cs="Arial"/>
              </w:rPr>
              <w:t>MODEL (</w:t>
            </w:r>
            <w:proofErr w:type="spellStart"/>
            <w:r w:rsidRPr="00316CA0">
              <w:rPr>
                <w:rFonts w:ascii="Arial" w:hAnsi="Arial" w:cs="Arial"/>
              </w:rPr>
              <w:t>Loucks</w:t>
            </w:r>
            <w:proofErr w:type="spellEnd"/>
            <w:r w:rsidRPr="00316CA0">
              <w:rPr>
                <w:rFonts w:ascii="Arial" w:hAnsi="Arial" w:cs="Arial"/>
              </w:rPr>
              <w:t xml:space="preserve"> et al 1989) and the Water Right Analysis Package (WRAP)</w:t>
            </w:r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Wurbs</w:t>
            </w:r>
            <w:proofErr w:type="spellEnd"/>
            <w:r>
              <w:rPr>
                <w:rFonts w:ascii="Arial" w:hAnsi="Arial" w:cs="Arial"/>
              </w:rPr>
              <w:t xml:space="preserve"> et al., 1993)</w:t>
            </w:r>
            <w:r w:rsidRPr="000D6E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are s</w:t>
            </w:r>
            <w:r w:rsidRPr="000D6E28">
              <w:rPr>
                <w:rFonts w:ascii="Arial" w:hAnsi="Arial" w:cs="Arial"/>
              </w:rPr>
              <w:t>ome other well known simulation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Pr="00316CA0">
              <w:rPr>
                <w:rFonts w:ascii="Arial" w:hAnsi="Arial" w:cs="Arial"/>
              </w:rPr>
              <w:t>models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Burkina Faso is in West Africa and Ghana is </w:t>
            </w:r>
            <w:proofErr w:type="gramStart"/>
            <w:r>
              <w:rPr>
                <w:rFonts w:ascii="NimbusSanL-Regu" w:hAnsi="NimbusSanL-Regu" w:cs="NimbusSanL-Regu"/>
                <w:color w:val="000000"/>
              </w:rPr>
              <w:t xml:space="preserve">its  </w:t>
            </w:r>
            <w:proofErr w:type="spellStart"/>
            <w:r>
              <w:rPr>
                <w:rFonts w:ascii="NimbusSanL-Regu" w:hAnsi="NimbusSanL-Regu" w:cs="NimbusSanL-Regu"/>
                <w:color w:val="000000"/>
              </w:rPr>
              <w:t>neighbouring</w:t>
            </w:r>
            <w:proofErr w:type="spellEnd"/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country.</w:t>
            </w: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C51E1B" w:rsidRDefault="00C51E1B" w:rsidP="00E212C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Page 1377, Line 22-24: Again it may also be noted that since its </w:t>
            </w:r>
            <w:r w:rsidRPr="00D12799">
              <w:rPr>
                <w:rFonts w:ascii="NimbusSanL-Regu" w:hAnsi="NimbusSanL-Regu" w:cs="NimbusSanL-Regu"/>
                <w:b/>
                <w:color w:val="000000"/>
              </w:rPr>
              <w:t xml:space="preserve">promulgation </w:t>
            </w:r>
            <w:r>
              <w:rPr>
                <w:rFonts w:ascii="NimbusSanL-Regu" w:hAnsi="NimbusSanL-Regu" w:cs="NimbusSanL-Regu"/>
                <w:color w:val="000000"/>
              </w:rPr>
              <w:t>in 1938,</w:t>
            </w:r>
          </w:p>
          <w:p w:rsidR="00C51E1B" w:rsidRPr="009903A0" w:rsidRDefault="00C51E1B" w:rsidP="00E212C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NimbusSanL-Regu" w:hAnsi="NimbusSanL-Regu" w:cs="NimbusSanL-Regu"/>
                <w:color w:val="000000"/>
              </w:rPr>
              <w:t>Snyder’s method…..</w:t>
            </w:r>
          </w:p>
        </w:tc>
      </w:tr>
    </w:tbl>
    <w:p w:rsidR="00C51E1B" w:rsidRDefault="00C51E1B" w:rsidP="00C51E1B">
      <w:pPr>
        <w:autoSpaceDE w:val="0"/>
        <w:autoSpaceDN w:val="0"/>
        <w:adjustRightInd w:val="0"/>
        <w:spacing w:after="0" w:line="240" w:lineRule="auto"/>
      </w:pPr>
    </w:p>
    <w:p w:rsidR="00813A98" w:rsidRDefault="00813A98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/>
    <w:p w:rsidR="003D2159" w:rsidRDefault="003D2159" w:rsidP="003D215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Annexure I</w:t>
      </w:r>
    </w:p>
    <w:p w:rsidR="003D2159" w:rsidRDefault="003D2159" w:rsidP="003D215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5943600" cy="4390088"/>
            <wp:effectExtent l="19050" t="0" r="0" b="0"/>
            <wp:docPr id="4" name="Picture 1" descr="G:\Paper1\2010-04-17_211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Paper1\2010-04-17_21135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0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159" w:rsidRDefault="003D2159" w:rsidP="003D21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0D3">
        <w:rPr>
          <w:rFonts w:ascii="Times New Roman" w:hAnsi="Times New Roman" w:cs="Times New Roman"/>
          <w:sz w:val="24"/>
          <w:szCs w:val="24"/>
        </w:rPr>
        <w:t>Source: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834">
        <w:rPr>
          <w:rFonts w:ascii="Times New Roman" w:hAnsi="Times New Roman" w:cs="Times New Roman"/>
          <w:sz w:val="24"/>
          <w:szCs w:val="24"/>
        </w:rPr>
        <w:t xml:space="preserve"> SPOT Imagery downloaded from </w:t>
      </w:r>
      <w:r>
        <w:rPr>
          <w:rFonts w:ascii="Times New Roman" w:hAnsi="Times New Roman" w:cs="Times New Roman"/>
          <w:sz w:val="24"/>
          <w:szCs w:val="24"/>
        </w:rPr>
        <w:t xml:space="preserve">Google Earth </w:t>
      </w:r>
      <w:r w:rsidR="009A3834">
        <w:rPr>
          <w:rFonts w:ascii="Times New Roman" w:hAnsi="Times New Roman" w:cs="Times New Roman"/>
          <w:sz w:val="24"/>
          <w:szCs w:val="24"/>
        </w:rPr>
        <w:t>at a 1: 17 km spatial resolution</w:t>
      </w:r>
    </w:p>
    <w:p w:rsidR="003D2159" w:rsidRDefault="003D2159"/>
    <w:p w:rsidR="003D2159" w:rsidRDefault="003D2159"/>
    <w:p w:rsidR="003D2159" w:rsidRDefault="003D2159"/>
    <w:p w:rsidR="003D2159" w:rsidRDefault="003D2159"/>
    <w:p w:rsidR="00733F83" w:rsidRDefault="00733F83"/>
    <w:p w:rsidR="00733F83" w:rsidRDefault="00733F83"/>
    <w:p w:rsidR="00733F83" w:rsidRDefault="00733F83"/>
    <w:p w:rsidR="00733F83" w:rsidRDefault="00733F83"/>
    <w:p w:rsidR="00733F83" w:rsidRDefault="00733F83"/>
    <w:p w:rsidR="00733F83" w:rsidRPr="00733F83" w:rsidRDefault="00733F83">
      <w:pPr>
        <w:rPr>
          <w:b/>
        </w:rPr>
      </w:pPr>
      <w:r>
        <w:rPr>
          <w:b/>
        </w:rPr>
        <w:lastRenderedPageBreak/>
        <w:t>Annexure II</w:t>
      </w:r>
    </w:p>
    <w:p w:rsidR="003D2159" w:rsidRDefault="00733F83">
      <w:r w:rsidRPr="00733F83">
        <w:drawing>
          <wp:inline distT="0" distB="0" distL="0" distR="0">
            <wp:extent cx="5943600" cy="3861506"/>
            <wp:effectExtent l="19050" t="0" r="0" b="0"/>
            <wp:docPr id="5" name="Picture 2" descr="G:\Paper1\2010-04-17_225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Paper1\2010-04-17_22553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61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159" w:rsidRDefault="003D2159"/>
    <w:sectPr w:rsidR="003D2159" w:rsidSect="00C74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C51E1B"/>
    <w:rsid w:val="003D2159"/>
    <w:rsid w:val="00733F83"/>
    <w:rsid w:val="00813A98"/>
    <w:rsid w:val="009A3834"/>
    <w:rsid w:val="00B931FF"/>
    <w:rsid w:val="00C51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2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1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5</cp:revision>
  <dcterms:created xsi:type="dcterms:W3CDTF">2010-04-19T09:30:00Z</dcterms:created>
  <dcterms:modified xsi:type="dcterms:W3CDTF">2010-04-19T09:47:00Z</dcterms:modified>
</cp:coreProperties>
</file>